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</w:t>
            </w:r>
            <w:bookmarkStart w:id="0" w:name="_GoBack"/>
            <w:bookmarkEnd w:id="0"/>
            <w:r w:rsidR="004F37A4" w:rsidRPr="008938DA">
              <w:rPr>
                <w:rFonts w:eastAsia="Times" w:cstheme="minorHAnsi"/>
              </w:rPr>
              <w:t>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</w:t>
            </w:r>
            <w:r w:rsidR="000573F8" w:rsidRPr="008938DA">
              <w:rPr>
                <w:rFonts w:cstheme="minorHAnsi"/>
              </w:rPr>
              <w:lastRenderedPageBreak/>
              <w:t>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 xml:space="preserve">wyjaśnia cel utworzenia inkwizycji i indeksu ksiąg </w:t>
            </w:r>
            <w:r w:rsidR="00F17322" w:rsidRPr="00F45275">
              <w:rPr>
                <w:rFonts w:cstheme="minorHAnsi"/>
              </w:rPr>
              <w:lastRenderedPageBreak/>
              <w:t>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lastRenderedPageBreak/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 xml:space="preserve">elementy </w:t>
            </w:r>
            <w:r w:rsidR="00745023">
              <w:rPr>
                <w:rFonts w:cstheme="minorHAnsi"/>
              </w:rPr>
              <w:lastRenderedPageBreak/>
              <w:t>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lastRenderedPageBreak/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lastRenderedPageBreak/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lastRenderedPageBreak/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wymienia najważniejsze ustawy </w:t>
            </w:r>
            <w:r w:rsidR="007F349F" w:rsidRPr="008938DA">
              <w:rPr>
                <w:rFonts w:eastAsia="Times New Roman" w:cstheme="minorHAnsi"/>
              </w:rPr>
              <w:lastRenderedPageBreak/>
              <w:t>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lastRenderedPageBreak/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uzasadnia tezę, że Mikołaj Kopernik był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 xml:space="preserve">, co oznacza, </w:t>
            </w:r>
            <w:r w:rsidR="00A60546">
              <w:rPr>
                <w:rFonts w:cstheme="minorHAnsi"/>
              </w:rPr>
              <w:lastRenderedPageBreak/>
              <w:t>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 xml:space="preserve">wkład innych wyznań w </w:t>
            </w:r>
            <w:r w:rsidR="00394A6B" w:rsidRPr="008938DA">
              <w:rPr>
                <w:rFonts w:cstheme="minorHAnsi"/>
              </w:rPr>
              <w:lastRenderedPageBreak/>
              <w:t>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 xml:space="preserve">przyczyny niechęci szlachty </w:t>
            </w:r>
            <w:r w:rsidR="00361F3C" w:rsidRPr="008938DA">
              <w:rPr>
                <w:rFonts w:cstheme="minorHAnsi"/>
              </w:rPr>
              <w:lastRenderedPageBreak/>
              <w:t>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lastRenderedPageBreak/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</w:t>
            </w:r>
            <w:r w:rsidR="008574D4" w:rsidRPr="008938DA">
              <w:rPr>
                <w:rFonts w:cstheme="minorHAnsi"/>
              </w:rPr>
              <w:lastRenderedPageBreak/>
              <w:t xml:space="preserve">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uzasadnia znaczenie bohaterskiej obrony </w:t>
            </w:r>
            <w:r w:rsidR="008574D4" w:rsidRPr="008938DA">
              <w:rPr>
                <w:rFonts w:cstheme="minorHAnsi"/>
              </w:rPr>
              <w:lastRenderedPageBreak/>
              <w:t>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wyjaśnia przyczyny </w:t>
            </w:r>
            <w:r w:rsidR="002F4397" w:rsidRPr="008938DA">
              <w:rPr>
                <w:rFonts w:cstheme="minorHAnsi"/>
              </w:rPr>
              <w:lastRenderedPageBreak/>
              <w:t>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wyjaśnia przyczyny początkowych </w:t>
            </w:r>
            <w:r w:rsidR="002F4397" w:rsidRPr="008938DA">
              <w:rPr>
                <w:rFonts w:cstheme="minorHAnsi"/>
              </w:rPr>
              <w:lastRenderedPageBreak/>
              <w:t>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 xml:space="preserve">pospolitej z </w:t>
            </w:r>
            <w:r w:rsidR="00E93DBB" w:rsidRPr="008938DA">
              <w:rPr>
                <w:rFonts w:cstheme="minorHAnsi"/>
              </w:rPr>
              <w:lastRenderedPageBreak/>
              <w:t>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wskazuje na mapie 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lastRenderedPageBreak/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najważniejsze </w:t>
            </w:r>
            <w:r w:rsidR="0039275C" w:rsidRPr="008938DA">
              <w:rPr>
                <w:rFonts w:cstheme="minorHAnsi"/>
              </w:rPr>
              <w:lastRenderedPageBreak/>
              <w:t>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lastRenderedPageBreak/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lastRenderedPageBreak/>
              <w:t>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lastRenderedPageBreak/>
              <w:t>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 xml:space="preserve">Wielkiej encyklopedii </w:t>
            </w:r>
            <w:r w:rsidR="00FD639C" w:rsidRPr="00F45275">
              <w:rPr>
                <w:rFonts w:cstheme="minorHAnsi"/>
                <w:i/>
              </w:rPr>
              <w:lastRenderedPageBreak/>
              <w:t>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lastRenderedPageBreak/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 xml:space="preserve">wymienia Tadeusza Kościuszkę i Kazimierza </w:t>
            </w:r>
            <w:r w:rsidR="00BE372E" w:rsidRPr="008938DA">
              <w:rPr>
                <w:rFonts w:eastAsia="Times" w:cstheme="minorHAnsi"/>
              </w:rPr>
              <w:lastRenderedPageBreak/>
              <w:t>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</w:t>
            </w:r>
            <w:r w:rsidR="00DB3209" w:rsidRPr="008938DA">
              <w:rPr>
                <w:rFonts w:eastAsia="Times" w:cstheme="minorHAnsi"/>
              </w:rPr>
              <w:lastRenderedPageBreak/>
              <w:t xml:space="preserve">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lastRenderedPageBreak/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>datę powstania Stanów 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lastRenderedPageBreak/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 xml:space="preserve">wskazuje </w:t>
            </w:r>
            <w:r w:rsidR="00206D7A" w:rsidRPr="008938DA">
              <w:rPr>
                <w:rFonts w:cstheme="minorHAnsi"/>
              </w:rPr>
              <w:lastRenderedPageBreak/>
              <w:t>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 xml:space="preserve">wskazuje na mapie </w:t>
            </w:r>
            <w:r w:rsidR="00110705" w:rsidRPr="008938DA">
              <w:rPr>
                <w:rFonts w:cstheme="minorHAnsi"/>
              </w:rPr>
              <w:lastRenderedPageBreak/>
              <w:t>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 xml:space="preserve">klęski Napoleona pod </w:t>
            </w:r>
            <w:r w:rsidR="00D670D0" w:rsidRPr="008938DA">
              <w:rPr>
                <w:rFonts w:cstheme="minorHAnsi"/>
              </w:rPr>
              <w:lastRenderedPageBreak/>
              <w:t>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 xml:space="preserve">sierrą i wskazuje jej znaczenie dla </w:t>
            </w:r>
            <w:r w:rsidR="005F2173" w:rsidRPr="008938DA">
              <w:rPr>
                <w:rFonts w:cstheme="minorHAnsi"/>
              </w:rPr>
              <w:lastRenderedPageBreak/>
              <w:t>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0E04C5">
      <w:footerReference w:type="default" r:id="rId9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2C528" w14:textId="77777777" w:rsidR="00147BA5" w:rsidRDefault="00147BA5" w:rsidP="007B1B87">
      <w:pPr>
        <w:spacing w:after="0" w:line="240" w:lineRule="auto"/>
      </w:pPr>
      <w:r>
        <w:separator/>
      </w:r>
    </w:p>
  </w:endnote>
  <w:endnote w:type="continuationSeparator" w:id="0">
    <w:p w14:paraId="0A34C119" w14:textId="77777777" w:rsidR="00147BA5" w:rsidRDefault="00147BA5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4C5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A768D" w14:textId="77777777" w:rsidR="00147BA5" w:rsidRDefault="00147BA5" w:rsidP="007B1B87">
      <w:pPr>
        <w:spacing w:after="0" w:line="240" w:lineRule="auto"/>
      </w:pPr>
      <w:r>
        <w:separator/>
      </w:r>
    </w:p>
  </w:footnote>
  <w:footnote w:type="continuationSeparator" w:id="0">
    <w:p w14:paraId="7DAA84B9" w14:textId="77777777" w:rsidR="00147BA5" w:rsidRDefault="00147BA5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04C5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47BA5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B2F3-5BB1-4F89-AAE9-A4479CBE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6493</Words>
  <Characters>38958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Agnieszka Adamiak</cp:lastModifiedBy>
  <cp:revision>2</cp:revision>
  <cp:lastPrinted>2017-09-06T11:26:00Z</cp:lastPrinted>
  <dcterms:created xsi:type="dcterms:W3CDTF">2020-09-28T06:02:00Z</dcterms:created>
  <dcterms:modified xsi:type="dcterms:W3CDTF">2020-09-28T06:02:00Z</dcterms:modified>
</cp:coreProperties>
</file>